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Schéma Pluriannuel d’Accessibilité Numérique (Cycle 2026-2029)</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Date de publication :</w:t>
      </w:r>
      <w:r w:rsidDel="00000000" w:rsidR="00000000" w:rsidRPr="00000000">
        <w:rPr>
          <w:rtl w:val="0"/>
        </w:rPr>
        <w:t xml:space="preserve"> 22/04/2026</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bCs w:val="1"/>
          <w:rtl w:val="0"/>
        </w:rPr>
        <w:t xml:space="preserve">Version :</w:t>
      </w:r>
      <w:r w:rsidDel="00000000" w:rsidR="00000000" w:rsidRPr="00000000">
        <w:rPr>
          <w:rtl w:val="0"/>
        </w:rPr>
        <w:t xml:space="preserve"> 2.0 (Mise à jour Gouvernance)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Table des matières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Introduction</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Politique d’accessibilité</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Ressources humaines et financières affectées à l’accessibilité numérique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Organisation de la prise en compte de l’accessibilité numérique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Action de formation et de sensibilisation</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Recours à des compétences externes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Prise en compte de l’accessibilité numérique dans les projets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Tests usagers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Prise en compte de l’accessibilité dans les procédures de marché</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Recrutement</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Traitement des retours usagers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Processus de contrôle et de validation</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Périmètre technique et fonctionnel</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Agenda planifié des interventions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Plans annuels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Annexe 1 : Périmètre technique public</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Introduction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L’article 47 de la loi n° 2005-102 du 11 février 2005 pour l’égalité des droits et des chances, la participation et la citoyenneté des personnes rend obligatoire à tout service de communication publique en ligne d’être accessible à tous.</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Politique d’accessibilité</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L’accessibilité numérique est au cœur des préoccupations liées au développement ou à la mise à disposition de sites web ou d’applications tant auprès du public que des personnels internes à Sésame Formation.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Cette volonté s’illustre par l’élaboration de ce schéma pluriannuel d’accessibilité numérique associé à des plans annuels d’action, dans l’objectif d’accompagner la mise en conformité RGAA (Référentiel Général d’Amélioration de l’Accessibilité) et l’amélioration progressive des sites web et applications concernés.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L’élaboration, le suivi et la mise à jour de ce schéma pluriannuel sont placés sous la responsabilité de </w:t>
      </w:r>
      <w:r w:rsidDel="00000000" w:rsidR="00000000" w:rsidRPr="00000000">
        <w:rPr>
          <w:b w:val="1"/>
          <w:bCs w:val="1"/>
          <w:rtl w:val="0"/>
        </w:rPr>
        <w:t xml:space="preserve">Christine GOUX</w:t>
      </w:r>
      <w:r w:rsidDel="00000000" w:rsidR="00000000" w:rsidRPr="00000000">
        <w:rPr>
          <w:rtl w:val="0"/>
        </w:rPr>
        <w:t xml:space="preserve">. Sa mission est de promouvoir l’accessibilité par la diffusion des normes et des bonnes pratiques, d’accompagner les équipes internes par des actions de formations, de contrôler l’application de la loi en procédant à des audits réguliers, et d’assurer la prise en charge des demandes des usagers.</w:t>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Ressources humaines et financières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Le pilotage et le suivi de la conformité au RGAA sont assurés par la Direction de Sésame Formation, sous la supervision directe de </w:t>
      </w:r>
      <w:r w:rsidDel="00000000" w:rsidR="00000000" w:rsidRPr="00000000">
        <w:rPr>
          <w:b w:val="1"/>
          <w:bCs w:val="1"/>
          <w:rtl w:val="0"/>
        </w:rPr>
        <w:t xml:space="preserve">Christine GOUX</w:t>
      </w:r>
      <w:r w:rsidDel="00000000" w:rsidR="00000000" w:rsidRPr="00000000">
        <w:rPr>
          <w:rtl w:val="0"/>
        </w:rPr>
        <w:t xml:space="preserve">. La structure s'appuie sur la polyvalence de ses collaborateurs et, si nécessaire, sur des renforts ponctuels pour garantir le respect des normes. Une évaluation continue des besoins humains et financiers est menée pour garantir la pérennité des actions.</w:t>
      </w:r>
    </w:p>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Organisation et actions transverses</w:t>
      </w:r>
    </w:p>
    <w:tbl>
      <w:tblPr>
        <w:tblStyle w:val="Table1"/>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Axe stratégique</w:t>
            </w:r>
          </w:p>
        </w:tc>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Description des engagements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Formation</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Organisation d'actions de formation et de sensibilisation pour permettre aux agents de développer des contenus accessibles.</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Compétences externes</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Recours à des experts pour les audits de certification et l'accompagnement technique spécifique chaque fois que nécessaire.</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Projets &amp; Marchés</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L'accessibilité est une exigence de base dès le début des projets et une clause contraignante dans les appels d'offres.</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Recrutement</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Intégration des compétences en accessibilité numérique dans les fiches de postes des personnels intervenant sur les services numériques.</w:t>
            </w:r>
          </w:p>
        </w:tc>
      </w:tr>
    </w:tbl>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Traitement des retours usagers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Un moyen de contact est disponible sur chaque site pour permettre aux usagers en situation de handicap de signaler leurs difficultés. Les demandes sont traitées sous la responsabilité de </w:t>
      </w:r>
      <w:r w:rsidDel="00000000" w:rsidR="00000000" w:rsidRPr="00000000">
        <w:rPr>
          <w:b w:val="1"/>
          <w:bCs w:val="1"/>
          <w:rtl w:val="0"/>
        </w:rPr>
        <w:t xml:space="preserve">Christine GOUX</w:t>
      </w:r>
      <w:r w:rsidDel="00000000" w:rsidR="00000000" w:rsidRPr="00000000">
        <w:rPr>
          <w:rtl w:val="0"/>
        </w:rPr>
        <w:t xml:space="preserve">.</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Processus de contrôle et de validation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Chaque service numérique fait l'objet de contrôles (internes ou externes) pour établir une déclaration d'accessibilité sincère et indépendante.</w:t>
      </w:r>
    </w:p>
    <w:p w:rsidR="00000000" w:rsidDel="00000000" w:rsidP="00000000" w:rsidRDefault="00000000" w:rsidRPr="00000000" w14:paraId="0000002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 Agenda planifié des interventions (2026-2029)</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Les opérations de maintien et d'amélioration de la conformité s’étaleront sur les années 2026 à 2029.</w:t>
      </w:r>
    </w:p>
    <w:p w:rsidR="00000000" w:rsidDel="00000000" w:rsidP="00000000" w:rsidRDefault="00000000" w:rsidRPr="00000000" w14:paraId="0000002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 Suivi des Plans Annuels</w:t>
      </w:r>
    </w:p>
    <w:tbl>
      <w:tblPr>
        <w:tblStyle w:val="Table2"/>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Nom du document</w:t>
            </w:r>
          </w:p>
        </w:tc>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État / Consultation</w:t>
            </w:r>
          </w:p>
        </w:tc>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Dernière mise à jour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Plan annuel 2024</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Obsolète</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03/01/2024</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Plan annuel 2025</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Obsolète</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05/01/2025</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Plan annuel 2026</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En cours (Version 2026-V1)</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22/04/2026</w:t>
            </w:r>
          </w:p>
        </w:tc>
      </w:tr>
    </w:tbl>
    <w:p w:rsidR="00000000" w:rsidDel="00000000" w:rsidP="00000000" w:rsidRDefault="00000000" w:rsidRPr="00000000" w14:paraId="0000003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Annexe 1 : Périmètre technique public</w:t>
      </w:r>
    </w:p>
    <w:tbl>
      <w:tblPr>
        <w:tblStyle w:val="Table3"/>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Site</w:t>
            </w:r>
          </w:p>
        </w:tc>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Type</w:t>
            </w:r>
          </w:p>
        </w:tc>
        <w:tc>
          <w:tcPr>
            <w:tcBorders>
              <w:top w:color="dddddd" w:space="0" w:sz="6" w:val="single"/>
              <w:left w:color="dddddd" w:space="0" w:sz="6" w:val="single"/>
              <w:bottom w:color="dddddd" w:space="0" w:sz="6" w:val="single"/>
              <w:right w:color="dddddd" w:space="0" w:sz="6" w:val="single"/>
            </w:tcBorders>
            <w:shd w:fill="f2f2f2" w:val="clear"/>
            <w:tcMar>
              <w:top w:w="150.0" w:type="dxa"/>
              <w:left w:w="150.0" w:type="dxa"/>
              <w:bottom w:w="150.0" w:type="dxa"/>
              <w:right w:w="15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URL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Site internet officiel</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Internet</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https://www.sesame-formation.re/</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Plateforme e-learning</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Internet</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https://e-learning.sesame-formation.re/</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